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AB" w:rsidRDefault="00BD0FAB" w:rsidP="00BD0FAB">
      <w:pPr>
        <w:rPr>
          <w:rFonts w:eastAsia="黑体"/>
          <w:sz w:val="32"/>
          <w:szCs w:val="32"/>
        </w:rPr>
      </w:pPr>
      <w:r w:rsidRPr="00EB350F">
        <w:rPr>
          <w:rFonts w:eastAsia="黑体" w:hint="eastAsia"/>
          <w:sz w:val="32"/>
          <w:szCs w:val="32"/>
        </w:rPr>
        <w:t>附件</w:t>
      </w:r>
      <w:r w:rsidR="00AA780B">
        <w:rPr>
          <w:rFonts w:eastAsia="黑体" w:hint="eastAsia"/>
          <w:sz w:val="32"/>
          <w:szCs w:val="32"/>
        </w:rPr>
        <w:t>1</w:t>
      </w:r>
      <w:bookmarkStart w:id="0" w:name="_GoBack"/>
      <w:bookmarkEnd w:id="0"/>
    </w:p>
    <w:p w:rsidR="00BD0FAB" w:rsidRPr="00EB350F" w:rsidRDefault="00BD0FAB" w:rsidP="00BD0FAB">
      <w:pPr>
        <w:rPr>
          <w:rFonts w:eastAsia="黑体"/>
          <w:sz w:val="32"/>
          <w:szCs w:val="32"/>
        </w:rPr>
      </w:pPr>
    </w:p>
    <w:p w:rsidR="00BD0FAB" w:rsidRPr="00EB350F" w:rsidRDefault="00BD0FAB" w:rsidP="00BD0FAB">
      <w:pPr>
        <w:jc w:val="center"/>
        <w:rPr>
          <w:rFonts w:eastAsia="方正小标宋简体"/>
          <w:bCs/>
          <w:sz w:val="44"/>
          <w:szCs w:val="44"/>
        </w:rPr>
      </w:pPr>
      <w:r w:rsidRPr="00EB350F">
        <w:rPr>
          <w:rFonts w:eastAsia="方正小标宋简体"/>
          <w:bCs/>
          <w:sz w:val="44"/>
          <w:szCs w:val="44"/>
        </w:rPr>
        <w:t>2021</w:t>
      </w:r>
      <w:r w:rsidRPr="00EB350F">
        <w:rPr>
          <w:rFonts w:eastAsia="方正小标宋简体" w:hint="eastAsia"/>
          <w:bCs/>
          <w:sz w:val="44"/>
          <w:szCs w:val="44"/>
        </w:rPr>
        <w:t>年陕西高等教育职业院校教学改革</w:t>
      </w:r>
    </w:p>
    <w:p w:rsidR="00BD0FAB" w:rsidRPr="00EB350F" w:rsidRDefault="00BD0FAB" w:rsidP="00BD0FAB">
      <w:pPr>
        <w:jc w:val="center"/>
        <w:rPr>
          <w:rFonts w:eastAsia="方正小标宋简体"/>
          <w:bCs/>
          <w:sz w:val="44"/>
          <w:szCs w:val="44"/>
        </w:rPr>
      </w:pPr>
      <w:r w:rsidRPr="00EB350F">
        <w:rPr>
          <w:rFonts w:eastAsia="方正小标宋简体" w:hint="eastAsia"/>
          <w:bCs/>
          <w:sz w:val="44"/>
          <w:szCs w:val="44"/>
        </w:rPr>
        <w:t>研究项目立项指南</w:t>
      </w:r>
    </w:p>
    <w:p w:rsidR="00BD0FAB" w:rsidRPr="00EB350F" w:rsidRDefault="00BD0FAB" w:rsidP="00BD0FAB">
      <w:pPr>
        <w:jc w:val="center"/>
        <w:rPr>
          <w:rFonts w:eastAsia="楷体_GB2312"/>
          <w:sz w:val="32"/>
          <w:szCs w:val="32"/>
        </w:rPr>
      </w:pPr>
      <w:r w:rsidRPr="00EB350F">
        <w:rPr>
          <w:rFonts w:eastAsia="楷体_GB2312" w:hint="eastAsia"/>
          <w:sz w:val="32"/>
          <w:szCs w:val="32"/>
        </w:rPr>
        <w:t>（</w:t>
      </w:r>
      <w:r w:rsidRPr="00EB350F">
        <w:rPr>
          <w:rFonts w:eastAsia="楷体_GB2312"/>
          <w:sz w:val="32"/>
          <w:szCs w:val="32"/>
        </w:rPr>
        <w:t>2021—2023</w:t>
      </w:r>
      <w:r w:rsidRPr="00EB350F">
        <w:rPr>
          <w:rFonts w:eastAsia="楷体_GB2312" w:hint="eastAsia"/>
          <w:sz w:val="32"/>
          <w:szCs w:val="32"/>
        </w:rPr>
        <w:t>年）</w:t>
      </w:r>
    </w:p>
    <w:p w:rsidR="00BD0FAB" w:rsidRPr="00EB350F" w:rsidRDefault="00BD0FAB" w:rsidP="00BD0FAB">
      <w:pPr>
        <w:rPr>
          <w:rFonts w:eastAsia="楷体_GB2312"/>
          <w:b/>
          <w:sz w:val="32"/>
          <w:szCs w:val="32"/>
        </w:rPr>
      </w:pPr>
    </w:p>
    <w:p w:rsidR="00BD0FAB" w:rsidRPr="00EB350F" w:rsidRDefault="00BD0FAB" w:rsidP="00BD0FAB">
      <w:pPr>
        <w:spacing w:line="338" w:lineRule="auto"/>
        <w:ind w:firstLineChars="200" w:firstLine="640"/>
        <w:rPr>
          <w:rFonts w:eastAsia="黑体"/>
          <w:sz w:val="32"/>
          <w:szCs w:val="32"/>
        </w:rPr>
      </w:pPr>
      <w:r w:rsidRPr="00EB350F">
        <w:rPr>
          <w:rFonts w:eastAsia="黑体"/>
          <w:sz w:val="32"/>
          <w:szCs w:val="32"/>
        </w:rPr>
        <w:t>一、总体要求</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为做好</w:t>
      </w:r>
      <w:r w:rsidRPr="00EB350F">
        <w:rPr>
          <w:rFonts w:eastAsia="仿宋_GB2312"/>
          <w:sz w:val="32"/>
          <w:szCs w:val="32"/>
        </w:rPr>
        <w:t>2021</w:t>
      </w:r>
      <w:r w:rsidRPr="00EB350F">
        <w:rPr>
          <w:rFonts w:eastAsia="仿宋_GB2312"/>
          <w:sz w:val="32"/>
          <w:szCs w:val="32"/>
        </w:rPr>
        <w:t>年度陕西高等职业教育教学改革研究项目立项工作，特制定本指南。</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指南列出的内容供各高校参考，其研究内容涉及高等职业教育教学改革与发展的方向，非具体的项目名称。申请人根据本指南，结合学校和个人实际，确定项目名称和研究内容。</w:t>
      </w:r>
    </w:p>
    <w:p w:rsidR="00BD0FAB" w:rsidRPr="00EB350F" w:rsidRDefault="00BD0FAB" w:rsidP="00BD0FAB">
      <w:pPr>
        <w:spacing w:line="338" w:lineRule="auto"/>
        <w:ind w:firstLineChars="200" w:firstLine="640"/>
        <w:rPr>
          <w:rFonts w:eastAsia="黑体"/>
          <w:sz w:val="32"/>
          <w:szCs w:val="32"/>
        </w:rPr>
      </w:pPr>
      <w:r w:rsidRPr="00EB350F">
        <w:rPr>
          <w:rFonts w:eastAsia="黑体"/>
          <w:sz w:val="32"/>
          <w:szCs w:val="32"/>
        </w:rPr>
        <w:t>二、立项指南目录</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w:t>
      </w:r>
      <w:r w:rsidRPr="00EB350F">
        <w:rPr>
          <w:rFonts w:eastAsia="仿宋_GB2312"/>
          <w:sz w:val="32"/>
          <w:szCs w:val="32"/>
        </w:rPr>
        <w:t>高等职业教育高质量发展路径研究；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w:t>
      </w:r>
      <w:r w:rsidRPr="00EB350F">
        <w:rPr>
          <w:rFonts w:eastAsia="仿宋_GB2312"/>
          <w:sz w:val="32"/>
          <w:szCs w:val="32"/>
        </w:rPr>
        <w:t>职业技术教育服务区域产业经济发展策略研究；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w:t>
      </w:r>
      <w:r w:rsidRPr="00EB350F">
        <w:rPr>
          <w:rFonts w:eastAsia="仿宋_GB2312"/>
          <w:sz w:val="32"/>
          <w:szCs w:val="32"/>
        </w:rPr>
        <w:t>现代学徒制改革实践研究；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w:t>
      </w:r>
      <w:r w:rsidRPr="00EB350F">
        <w:rPr>
          <w:rFonts w:eastAsia="仿宋_GB2312"/>
          <w:sz w:val="32"/>
          <w:szCs w:val="32"/>
        </w:rPr>
        <w:t>高等职业教育深化产教融合、校企合作机制体制研究；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5.</w:t>
      </w:r>
      <w:r w:rsidRPr="00EB350F">
        <w:rPr>
          <w:rFonts w:eastAsia="仿宋_GB2312"/>
          <w:sz w:val="32"/>
          <w:szCs w:val="32"/>
        </w:rPr>
        <w:t>本科层次职业教育建设与发展研究；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6.</w:t>
      </w:r>
      <w:r w:rsidRPr="00EB350F">
        <w:rPr>
          <w:rFonts w:eastAsia="仿宋_GB2312"/>
          <w:sz w:val="32"/>
          <w:szCs w:val="32"/>
        </w:rPr>
        <w:t>中国特色高水平高职学校建设研究；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7.</w:t>
      </w:r>
      <w:r w:rsidRPr="00EB350F">
        <w:rPr>
          <w:rFonts w:eastAsia="仿宋_GB2312"/>
          <w:sz w:val="32"/>
          <w:szCs w:val="32"/>
        </w:rPr>
        <w:t>中国特色高水平专业群建设研究；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8.</w:t>
      </w:r>
      <w:r w:rsidRPr="00EB350F">
        <w:rPr>
          <w:rFonts w:eastAsia="仿宋_GB2312"/>
          <w:sz w:val="32"/>
          <w:szCs w:val="32"/>
        </w:rPr>
        <w:t>立德树人与三全育人机制体制创新实践研究；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9.</w:t>
      </w:r>
      <w:r w:rsidRPr="00EB350F">
        <w:rPr>
          <w:rFonts w:eastAsia="仿宋_GB2312"/>
          <w:sz w:val="32"/>
          <w:szCs w:val="32"/>
        </w:rPr>
        <w:t>高等职业教育高水平人才培养高地建设路径研究；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10.</w:t>
      </w:r>
      <w:r w:rsidRPr="00EB350F">
        <w:rPr>
          <w:rFonts w:eastAsia="仿宋_GB2312"/>
          <w:sz w:val="32"/>
          <w:szCs w:val="32"/>
        </w:rPr>
        <w:t>高等职业教育技术技能创新服务平台建设路径研究；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lastRenderedPageBreak/>
        <w:t>11.</w:t>
      </w:r>
      <w:r w:rsidRPr="00EB350F">
        <w:rPr>
          <w:rFonts w:eastAsia="仿宋_GB2312"/>
          <w:sz w:val="32"/>
          <w:szCs w:val="32"/>
        </w:rPr>
        <w:t>高等职业教育专业建设标准体系建设与研究；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12.</w:t>
      </w:r>
      <w:r w:rsidRPr="00EB350F">
        <w:rPr>
          <w:rFonts w:eastAsia="仿宋_GB2312"/>
          <w:sz w:val="32"/>
          <w:szCs w:val="32"/>
        </w:rPr>
        <w:t>高职院校评价体系建设与实践研究；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13.“1+X”</w:t>
      </w:r>
      <w:r w:rsidRPr="00EB350F">
        <w:rPr>
          <w:rFonts w:eastAsia="仿宋_GB2312"/>
          <w:sz w:val="32"/>
          <w:szCs w:val="32"/>
        </w:rPr>
        <w:t>证书制度试点研究与实践；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14.</w:t>
      </w:r>
      <w:r w:rsidRPr="00EB350F">
        <w:rPr>
          <w:rFonts w:eastAsia="仿宋_GB2312"/>
          <w:sz w:val="32"/>
          <w:szCs w:val="32"/>
        </w:rPr>
        <w:t>高职院校产业学院建设及运行机制研究；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15.</w:t>
      </w:r>
      <w:r w:rsidRPr="00EB350F">
        <w:rPr>
          <w:rFonts w:eastAsia="仿宋_GB2312"/>
          <w:sz w:val="32"/>
          <w:szCs w:val="32"/>
        </w:rPr>
        <w:t>高等职业教育治理体系和治理能力现代化研究；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16.</w:t>
      </w:r>
      <w:r w:rsidRPr="00EB350F">
        <w:rPr>
          <w:rFonts w:eastAsia="仿宋_GB2312"/>
          <w:sz w:val="32"/>
          <w:szCs w:val="32"/>
        </w:rPr>
        <w:t>职业教育社会培训服务功能建设研究；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17.</w:t>
      </w:r>
      <w:r w:rsidRPr="00EB350F">
        <w:rPr>
          <w:rFonts w:eastAsia="仿宋_GB2312"/>
          <w:sz w:val="32"/>
          <w:szCs w:val="32"/>
        </w:rPr>
        <w:t>高等职业教育助力乡村振兴的策略研究；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18.</w:t>
      </w:r>
      <w:r w:rsidRPr="00EB350F">
        <w:rPr>
          <w:rFonts w:eastAsia="仿宋_GB2312"/>
          <w:sz w:val="32"/>
          <w:szCs w:val="32"/>
        </w:rPr>
        <w:t>高等职业教育国际交流与合作研究；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19.</w:t>
      </w:r>
      <w:r w:rsidRPr="00EB350F">
        <w:rPr>
          <w:rFonts w:eastAsia="仿宋_GB2312"/>
          <w:sz w:val="32"/>
          <w:szCs w:val="32"/>
        </w:rPr>
        <w:t>高职院校开展美育、劳动教育研究与实践；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20.</w:t>
      </w:r>
      <w:r w:rsidRPr="00EB350F">
        <w:rPr>
          <w:rFonts w:eastAsia="仿宋_GB2312"/>
          <w:sz w:val="32"/>
          <w:szCs w:val="32"/>
        </w:rPr>
        <w:t>高职院校推进</w:t>
      </w:r>
      <w:r w:rsidRPr="00EB350F">
        <w:rPr>
          <w:rFonts w:eastAsia="仿宋_GB2312"/>
          <w:sz w:val="32"/>
          <w:szCs w:val="32"/>
        </w:rPr>
        <w:t>“</w:t>
      </w:r>
      <w:r w:rsidRPr="00EB350F">
        <w:rPr>
          <w:rFonts w:eastAsia="仿宋_GB2312"/>
          <w:sz w:val="32"/>
          <w:szCs w:val="32"/>
        </w:rPr>
        <w:t>三教</w:t>
      </w:r>
      <w:r w:rsidRPr="00EB350F">
        <w:rPr>
          <w:rFonts w:eastAsia="仿宋_GB2312"/>
          <w:sz w:val="32"/>
          <w:szCs w:val="32"/>
        </w:rPr>
        <w:t>”</w:t>
      </w:r>
      <w:r w:rsidRPr="00EB350F">
        <w:rPr>
          <w:rFonts w:eastAsia="仿宋_GB2312"/>
          <w:sz w:val="32"/>
          <w:szCs w:val="32"/>
        </w:rPr>
        <w:t>改革实践研究；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21.</w:t>
      </w:r>
      <w:r w:rsidRPr="00EB350F">
        <w:rPr>
          <w:rFonts w:eastAsia="仿宋_GB2312"/>
          <w:sz w:val="32"/>
          <w:szCs w:val="32"/>
        </w:rPr>
        <w:t>高职院校教师教学创新团队建设实践研究；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22.</w:t>
      </w:r>
      <w:r w:rsidRPr="00EB350F">
        <w:rPr>
          <w:rFonts w:eastAsia="仿宋_GB2312"/>
          <w:sz w:val="32"/>
          <w:szCs w:val="32"/>
        </w:rPr>
        <w:t>高职院校高水平实训基地建设研究；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23.</w:t>
      </w:r>
      <w:r w:rsidRPr="00EB350F">
        <w:rPr>
          <w:rFonts w:eastAsia="仿宋_GB2312"/>
          <w:sz w:val="32"/>
          <w:szCs w:val="32"/>
        </w:rPr>
        <w:t>高职院校教师教学能力提升路径研究；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24.</w:t>
      </w:r>
      <w:r w:rsidRPr="00EB350F">
        <w:rPr>
          <w:rFonts w:eastAsia="仿宋_GB2312"/>
          <w:sz w:val="32"/>
          <w:szCs w:val="32"/>
        </w:rPr>
        <w:t>高职院校教师工程实践能力提升研究；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25.“</w:t>
      </w:r>
      <w:r w:rsidRPr="00EB350F">
        <w:rPr>
          <w:rFonts w:eastAsia="仿宋_GB2312"/>
          <w:sz w:val="32"/>
          <w:szCs w:val="32"/>
        </w:rPr>
        <w:t>双高计划</w:t>
      </w:r>
      <w:r w:rsidRPr="00EB350F">
        <w:rPr>
          <w:rFonts w:eastAsia="仿宋_GB2312"/>
          <w:sz w:val="32"/>
          <w:szCs w:val="32"/>
        </w:rPr>
        <w:t>”</w:t>
      </w:r>
      <w:r w:rsidRPr="00EB350F">
        <w:rPr>
          <w:rFonts w:eastAsia="仿宋_GB2312"/>
          <w:sz w:val="32"/>
          <w:szCs w:val="32"/>
        </w:rPr>
        <w:t>建设院校绩效考核研究；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26.</w:t>
      </w:r>
      <w:r w:rsidRPr="00EB350F">
        <w:rPr>
          <w:rFonts w:eastAsia="仿宋_GB2312"/>
          <w:sz w:val="32"/>
          <w:szCs w:val="32"/>
        </w:rPr>
        <w:t>高等职业教育内涵发展、特色发展要素研究；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27.</w:t>
      </w:r>
      <w:r w:rsidRPr="00EB350F">
        <w:rPr>
          <w:rFonts w:eastAsia="仿宋_GB2312"/>
          <w:sz w:val="32"/>
          <w:szCs w:val="32"/>
        </w:rPr>
        <w:t>高职教育核心文化价值体系研究；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28.“</w:t>
      </w:r>
      <w:r w:rsidRPr="00EB350F">
        <w:rPr>
          <w:rFonts w:eastAsia="仿宋_GB2312"/>
          <w:sz w:val="32"/>
          <w:szCs w:val="32"/>
        </w:rPr>
        <w:t>人工智能</w:t>
      </w:r>
      <w:r w:rsidRPr="00EB350F">
        <w:rPr>
          <w:rFonts w:eastAsia="仿宋_GB2312"/>
          <w:sz w:val="32"/>
          <w:szCs w:val="32"/>
        </w:rPr>
        <w:t>+</w:t>
      </w:r>
      <w:r w:rsidRPr="00EB350F">
        <w:rPr>
          <w:rFonts w:eastAsia="仿宋_GB2312"/>
          <w:sz w:val="32"/>
          <w:szCs w:val="32"/>
        </w:rPr>
        <w:t>职业教育</w:t>
      </w:r>
      <w:r w:rsidRPr="00EB350F">
        <w:rPr>
          <w:rFonts w:eastAsia="仿宋_GB2312"/>
          <w:sz w:val="32"/>
          <w:szCs w:val="32"/>
        </w:rPr>
        <w:t>”“</w:t>
      </w:r>
      <w:r w:rsidRPr="00EB350F">
        <w:rPr>
          <w:rFonts w:eastAsia="仿宋_GB2312"/>
          <w:sz w:val="32"/>
          <w:szCs w:val="32"/>
        </w:rPr>
        <w:t>数字经济</w:t>
      </w:r>
      <w:r w:rsidRPr="00EB350F">
        <w:rPr>
          <w:rFonts w:eastAsia="仿宋_GB2312"/>
          <w:sz w:val="32"/>
          <w:szCs w:val="32"/>
        </w:rPr>
        <w:t>+</w:t>
      </w:r>
      <w:r w:rsidRPr="00EB350F">
        <w:rPr>
          <w:rFonts w:eastAsia="仿宋_GB2312"/>
          <w:sz w:val="32"/>
          <w:szCs w:val="32"/>
        </w:rPr>
        <w:t>职业教育</w:t>
      </w:r>
      <w:r w:rsidRPr="00EB350F">
        <w:rPr>
          <w:rFonts w:eastAsia="仿宋_GB2312"/>
          <w:sz w:val="32"/>
          <w:szCs w:val="32"/>
        </w:rPr>
        <w:t>”“</w:t>
      </w:r>
      <w:r w:rsidRPr="00EB350F">
        <w:rPr>
          <w:rFonts w:eastAsia="仿宋_GB2312"/>
          <w:sz w:val="32"/>
          <w:szCs w:val="32"/>
        </w:rPr>
        <w:t>互联网</w:t>
      </w:r>
      <w:r w:rsidRPr="00EB350F">
        <w:rPr>
          <w:rFonts w:eastAsia="仿宋_GB2312"/>
          <w:sz w:val="32"/>
          <w:szCs w:val="32"/>
        </w:rPr>
        <w:t>+</w:t>
      </w:r>
      <w:r w:rsidRPr="00EB350F">
        <w:rPr>
          <w:rFonts w:eastAsia="仿宋_GB2312"/>
          <w:sz w:val="32"/>
          <w:szCs w:val="32"/>
        </w:rPr>
        <w:t>职业教育</w:t>
      </w:r>
      <w:r w:rsidRPr="00EB350F">
        <w:rPr>
          <w:rFonts w:eastAsia="仿宋_GB2312"/>
          <w:sz w:val="32"/>
          <w:szCs w:val="32"/>
        </w:rPr>
        <w:t>”</w:t>
      </w:r>
      <w:r w:rsidRPr="00EB350F">
        <w:rPr>
          <w:rFonts w:eastAsia="仿宋_GB2312"/>
          <w:sz w:val="32"/>
          <w:szCs w:val="32"/>
        </w:rPr>
        <w:t>的探索与实践研究；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29.</w:t>
      </w:r>
      <w:r w:rsidRPr="00EB350F">
        <w:rPr>
          <w:rFonts w:eastAsia="仿宋_GB2312"/>
          <w:sz w:val="32"/>
          <w:szCs w:val="32"/>
        </w:rPr>
        <w:t>高等职业教育创新创业教育改革研究；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30.</w:t>
      </w:r>
      <w:r w:rsidRPr="00EB350F">
        <w:rPr>
          <w:rFonts w:eastAsia="仿宋_GB2312"/>
          <w:sz w:val="32"/>
          <w:szCs w:val="32"/>
        </w:rPr>
        <w:t>高职院校实践教学体系建设探索与实践；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31.</w:t>
      </w:r>
      <w:r w:rsidRPr="00EB350F">
        <w:rPr>
          <w:rFonts w:eastAsia="仿宋_GB2312"/>
          <w:sz w:val="32"/>
          <w:szCs w:val="32"/>
        </w:rPr>
        <w:t>职业教育虚拟仿真实训基地建设路径的探索与实践；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lastRenderedPageBreak/>
        <w:t>32.</w:t>
      </w:r>
      <w:r w:rsidRPr="00EB350F">
        <w:rPr>
          <w:rFonts w:eastAsia="仿宋_GB2312"/>
          <w:sz w:val="32"/>
          <w:szCs w:val="32"/>
        </w:rPr>
        <w:t>高职教育顶岗实习教学改革与实践研究；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33.</w:t>
      </w:r>
      <w:r w:rsidRPr="00EB350F">
        <w:rPr>
          <w:rFonts w:eastAsia="仿宋_GB2312"/>
          <w:sz w:val="32"/>
          <w:szCs w:val="32"/>
        </w:rPr>
        <w:t>职业院校技能竞赛组织管理模式研究与实践；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34.</w:t>
      </w:r>
      <w:r w:rsidRPr="00EB350F">
        <w:rPr>
          <w:rFonts w:eastAsia="仿宋_GB2312"/>
          <w:sz w:val="32"/>
          <w:szCs w:val="32"/>
        </w:rPr>
        <w:t>高等职业教育多元办学模式研究；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35.</w:t>
      </w:r>
      <w:r w:rsidRPr="00EB350F">
        <w:rPr>
          <w:rFonts w:eastAsia="仿宋_GB2312"/>
          <w:sz w:val="32"/>
          <w:szCs w:val="32"/>
        </w:rPr>
        <w:t>陕西高等职业教育发展战略和竞争力研究；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36.</w:t>
      </w:r>
      <w:r w:rsidRPr="00EB350F">
        <w:rPr>
          <w:rFonts w:eastAsia="仿宋_GB2312"/>
          <w:sz w:val="32"/>
          <w:szCs w:val="32"/>
        </w:rPr>
        <w:t>高等职业教育规模、结构、质量、效益协调发展及可持续发展机制研究；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37.</w:t>
      </w:r>
      <w:r w:rsidRPr="00EB350F">
        <w:rPr>
          <w:rFonts w:eastAsia="仿宋_GB2312"/>
          <w:sz w:val="32"/>
          <w:szCs w:val="32"/>
        </w:rPr>
        <w:t>高职专科教育高素质技术技能型人才和高职本科教育高层次技术技能型人才培养体系研究；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38.</w:t>
      </w:r>
      <w:r w:rsidRPr="00EB350F">
        <w:rPr>
          <w:rFonts w:eastAsia="仿宋_GB2312"/>
          <w:sz w:val="32"/>
          <w:szCs w:val="32"/>
        </w:rPr>
        <w:t>职业教育学分制改革研究与实践；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39</w:t>
      </w:r>
      <w:r w:rsidRPr="00EB350F">
        <w:rPr>
          <w:rFonts w:eastAsia="仿宋_GB2312"/>
          <w:sz w:val="32"/>
          <w:szCs w:val="32"/>
        </w:rPr>
        <w:t>．职业教育紧密对接产业链、创新链的专业体系构建研究与实践；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40.</w:t>
      </w:r>
      <w:r w:rsidRPr="00EB350F">
        <w:rPr>
          <w:rFonts w:eastAsia="仿宋_GB2312"/>
          <w:sz w:val="32"/>
          <w:szCs w:val="32"/>
        </w:rPr>
        <w:t>高职教育特色专业群（共同体）构建研究与实践；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41.</w:t>
      </w:r>
      <w:r w:rsidRPr="00EB350F">
        <w:rPr>
          <w:rFonts w:eastAsia="仿宋_GB2312"/>
          <w:sz w:val="32"/>
          <w:szCs w:val="32"/>
        </w:rPr>
        <w:t>高职教育课程思</w:t>
      </w:r>
      <w:proofErr w:type="gramStart"/>
      <w:r w:rsidRPr="00EB350F">
        <w:rPr>
          <w:rFonts w:eastAsia="仿宋_GB2312"/>
          <w:sz w:val="32"/>
          <w:szCs w:val="32"/>
        </w:rPr>
        <w:t>政和思政课程</w:t>
      </w:r>
      <w:proofErr w:type="gramEnd"/>
      <w:r w:rsidRPr="00EB350F">
        <w:rPr>
          <w:rFonts w:eastAsia="仿宋_GB2312"/>
          <w:sz w:val="32"/>
          <w:szCs w:val="32"/>
        </w:rPr>
        <w:t>建设研究与实践；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42.</w:t>
      </w:r>
      <w:r w:rsidRPr="00EB350F">
        <w:rPr>
          <w:rFonts w:eastAsia="仿宋_GB2312"/>
          <w:sz w:val="32"/>
          <w:szCs w:val="32"/>
        </w:rPr>
        <w:t>职业教育线上线下混合式教学改革研究与实践；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43.</w:t>
      </w:r>
      <w:r w:rsidRPr="00EB350F">
        <w:rPr>
          <w:rFonts w:eastAsia="仿宋_GB2312"/>
          <w:sz w:val="32"/>
          <w:szCs w:val="32"/>
        </w:rPr>
        <w:t>高职院校课程教材的准入、建设、评价与淘汰机制研究；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44.</w:t>
      </w:r>
      <w:r w:rsidRPr="00EB350F">
        <w:rPr>
          <w:rFonts w:eastAsia="仿宋_GB2312"/>
          <w:sz w:val="32"/>
          <w:szCs w:val="32"/>
        </w:rPr>
        <w:t>职业教育优质教学资源共建共享体制与机制的研究；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45.</w:t>
      </w:r>
      <w:r w:rsidRPr="00EB350F">
        <w:rPr>
          <w:rFonts w:eastAsia="仿宋_GB2312"/>
          <w:sz w:val="32"/>
          <w:szCs w:val="32"/>
        </w:rPr>
        <w:t>职业高等教育专业人才培养评价标准体系构建研究与实践；</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46.</w:t>
      </w:r>
      <w:r w:rsidRPr="00EB350F">
        <w:rPr>
          <w:rFonts w:eastAsia="仿宋_GB2312"/>
          <w:sz w:val="32"/>
          <w:szCs w:val="32"/>
        </w:rPr>
        <w:t>职业教育集团化办学模式的创新实践研究；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48.</w:t>
      </w:r>
      <w:r w:rsidRPr="00EB350F">
        <w:rPr>
          <w:rFonts w:eastAsia="仿宋_GB2312"/>
          <w:sz w:val="32"/>
          <w:szCs w:val="32"/>
        </w:rPr>
        <w:t>深化新时代高职专业体系改革的研究；</w:t>
      </w:r>
    </w:p>
    <w:p w:rsidR="00BD0FAB" w:rsidRPr="00EB350F" w:rsidRDefault="00BD0FAB" w:rsidP="00BD0FAB">
      <w:pPr>
        <w:spacing w:line="338" w:lineRule="auto"/>
        <w:ind w:firstLineChars="200" w:firstLine="640"/>
        <w:rPr>
          <w:rFonts w:eastAsia="仿宋_GB2312"/>
          <w:sz w:val="32"/>
          <w:szCs w:val="32"/>
        </w:rPr>
      </w:pPr>
      <w:r w:rsidRPr="00EB350F">
        <w:rPr>
          <w:rFonts w:eastAsia="仿宋_GB2312"/>
          <w:sz w:val="32"/>
          <w:szCs w:val="32"/>
        </w:rPr>
        <w:t>49.</w:t>
      </w:r>
      <w:r w:rsidRPr="00EB350F">
        <w:rPr>
          <w:rFonts w:eastAsia="仿宋_GB2312"/>
          <w:sz w:val="32"/>
          <w:szCs w:val="32"/>
        </w:rPr>
        <w:t>职业院校</w:t>
      </w:r>
      <w:r w:rsidRPr="00EB350F">
        <w:rPr>
          <w:rFonts w:eastAsia="仿宋_GB2312"/>
          <w:sz w:val="32"/>
          <w:szCs w:val="32"/>
        </w:rPr>
        <w:t>“</w:t>
      </w:r>
      <w:r w:rsidRPr="00EB350F">
        <w:rPr>
          <w:rFonts w:eastAsia="仿宋_GB2312"/>
          <w:sz w:val="32"/>
          <w:szCs w:val="32"/>
        </w:rPr>
        <w:t>双师型</w:t>
      </w:r>
      <w:r w:rsidRPr="00EB350F">
        <w:rPr>
          <w:rFonts w:eastAsia="仿宋_GB2312"/>
          <w:sz w:val="32"/>
          <w:szCs w:val="32"/>
        </w:rPr>
        <w:t>”</w:t>
      </w:r>
      <w:r w:rsidRPr="00EB350F">
        <w:rPr>
          <w:rFonts w:eastAsia="仿宋_GB2312"/>
          <w:sz w:val="32"/>
          <w:szCs w:val="32"/>
        </w:rPr>
        <w:t>教师队伍建设与培养机制研究。</w:t>
      </w:r>
    </w:p>
    <w:p w:rsidR="00BD0FAB" w:rsidRDefault="00BD0FAB" w:rsidP="00BD0FAB">
      <w:pPr>
        <w:spacing w:line="338" w:lineRule="auto"/>
        <w:rPr>
          <w:rFonts w:eastAsia="黑体"/>
          <w:bCs/>
          <w:sz w:val="32"/>
          <w:szCs w:val="32"/>
        </w:rPr>
        <w:sectPr w:rsidR="00BD0FAB" w:rsidSect="00EB350F">
          <w:footerReference w:type="even" r:id="rId7"/>
          <w:footerReference w:type="default" r:id="rId8"/>
          <w:pgSz w:w="11906" w:h="16838" w:code="9"/>
          <w:pgMar w:top="2098" w:right="1474" w:bottom="1985" w:left="1588" w:header="851" w:footer="1701" w:gutter="0"/>
          <w:cols w:space="720"/>
          <w:docGrid w:linePitch="312"/>
        </w:sectPr>
      </w:pPr>
    </w:p>
    <w:p w:rsidR="00720911" w:rsidRPr="00BD0FAB" w:rsidRDefault="00720911"/>
    <w:sectPr w:rsidR="00720911" w:rsidRPr="00BD0FAB" w:rsidSect="007209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EA2" w:rsidRDefault="00766EA2">
      <w:r>
        <w:separator/>
      </w:r>
    </w:p>
  </w:endnote>
  <w:endnote w:type="continuationSeparator" w:id="0">
    <w:p w:rsidR="00766EA2" w:rsidRDefault="0076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E6" w:rsidRDefault="00BD0FAB">
    <w:pPr>
      <w:pStyle w:val="a3"/>
      <w:framePr w:wrap="around" w:vAnchor="text" w:hAnchor="margin" w:xAlign="outside" w:y="1"/>
      <w:rPr>
        <w:rStyle w:val="a4"/>
        <w:rFonts w:ascii="宋体"/>
        <w:sz w:val="28"/>
        <w:szCs w:val="28"/>
      </w:rPr>
    </w:pPr>
    <w:r>
      <w:rPr>
        <w:rStyle w:val="a4"/>
        <w:rFonts w:ascii="宋体" w:hAnsi="宋体"/>
        <w:sz w:val="28"/>
        <w:szCs w:val="28"/>
      </w:rPr>
      <w:t xml:space="preserve">— </w:t>
    </w:r>
    <w:r>
      <w:rPr>
        <w:rStyle w:val="a4"/>
        <w:rFonts w:ascii="宋体" w:hAnsi="宋体"/>
        <w:sz w:val="28"/>
        <w:szCs w:val="28"/>
      </w:rPr>
      <w:fldChar w:fldCharType="begin"/>
    </w:r>
    <w:r>
      <w:rPr>
        <w:rStyle w:val="a4"/>
        <w:rFonts w:ascii="宋体" w:hAnsi="宋体"/>
        <w:sz w:val="28"/>
        <w:szCs w:val="28"/>
      </w:rPr>
      <w:instrText xml:space="preserve">PAGE  </w:instrText>
    </w:r>
    <w:r>
      <w:rPr>
        <w:rStyle w:val="a4"/>
        <w:rFonts w:ascii="宋体" w:hAnsi="宋体"/>
        <w:sz w:val="28"/>
        <w:szCs w:val="28"/>
      </w:rPr>
      <w:fldChar w:fldCharType="separate"/>
    </w:r>
    <w:r>
      <w:rPr>
        <w:rStyle w:val="a4"/>
        <w:rFonts w:ascii="宋体" w:hAnsi="宋体"/>
        <w:sz w:val="28"/>
        <w:szCs w:val="28"/>
      </w:rPr>
      <w:t>2</w:t>
    </w:r>
    <w:r>
      <w:rPr>
        <w:rStyle w:val="a4"/>
        <w:rFonts w:ascii="宋体" w:hAnsi="宋体"/>
        <w:sz w:val="28"/>
        <w:szCs w:val="28"/>
      </w:rPr>
      <w:fldChar w:fldCharType="end"/>
    </w:r>
    <w:r>
      <w:rPr>
        <w:rStyle w:val="a4"/>
        <w:rFonts w:ascii="宋体" w:hAnsi="宋体"/>
        <w:sz w:val="28"/>
        <w:szCs w:val="28"/>
      </w:rPr>
      <w:t xml:space="preserve"> —</w:t>
    </w:r>
  </w:p>
  <w:p w:rsidR="006037E6" w:rsidRDefault="00766EA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E6" w:rsidRDefault="00BD0FAB">
    <w:pPr>
      <w:pStyle w:val="a3"/>
      <w:framePr w:wrap="around" w:vAnchor="text" w:hAnchor="margin" w:xAlign="outside" w:y="1"/>
      <w:jc w:val="right"/>
      <w:rPr>
        <w:rStyle w:val="a4"/>
        <w:rFonts w:ascii="宋体"/>
        <w:sz w:val="28"/>
        <w:szCs w:val="28"/>
      </w:rPr>
    </w:pPr>
    <w:r>
      <w:rPr>
        <w:rStyle w:val="a4"/>
        <w:rFonts w:ascii="宋体" w:hAnsi="宋体"/>
        <w:sz w:val="28"/>
        <w:szCs w:val="28"/>
      </w:rPr>
      <w:t xml:space="preserve">— </w:t>
    </w:r>
    <w:r>
      <w:rPr>
        <w:rStyle w:val="a4"/>
        <w:rFonts w:ascii="宋体" w:hAnsi="宋体"/>
        <w:sz w:val="28"/>
        <w:szCs w:val="28"/>
      </w:rPr>
      <w:fldChar w:fldCharType="begin"/>
    </w:r>
    <w:r>
      <w:rPr>
        <w:rStyle w:val="a4"/>
        <w:rFonts w:ascii="宋体" w:hAnsi="宋体"/>
        <w:sz w:val="28"/>
        <w:szCs w:val="28"/>
      </w:rPr>
      <w:instrText xml:space="preserve">PAGE  </w:instrText>
    </w:r>
    <w:r>
      <w:rPr>
        <w:rStyle w:val="a4"/>
        <w:rFonts w:ascii="宋体" w:hAnsi="宋体"/>
        <w:sz w:val="28"/>
        <w:szCs w:val="28"/>
      </w:rPr>
      <w:fldChar w:fldCharType="separate"/>
    </w:r>
    <w:r w:rsidR="00AA780B">
      <w:rPr>
        <w:rStyle w:val="a4"/>
        <w:rFonts w:ascii="宋体" w:hAnsi="宋体"/>
        <w:noProof/>
        <w:sz w:val="28"/>
        <w:szCs w:val="28"/>
      </w:rPr>
      <w:t>1</w:t>
    </w:r>
    <w:r>
      <w:rPr>
        <w:rStyle w:val="a4"/>
        <w:rFonts w:ascii="宋体" w:hAnsi="宋体"/>
        <w:sz w:val="28"/>
        <w:szCs w:val="28"/>
      </w:rPr>
      <w:fldChar w:fldCharType="end"/>
    </w:r>
    <w:r>
      <w:rPr>
        <w:rStyle w:val="a4"/>
        <w:rFonts w:ascii="宋体" w:hAnsi="宋体"/>
        <w:sz w:val="28"/>
        <w:szCs w:val="28"/>
      </w:rPr>
      <w:t xml:space="preserve"> —</w:t>
    </w:r>
  </w:p>
  <w:p w:rsidR="006037E6" w:rsidRDefault="00766EA2">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EA2" w:rsidRDefault="00766EA2">
      <w:r>
        <w:separator/>
      </w:r>
    </w:p>
  </w:footnote>
  <w:footnote w:type="continuationSeparator" w:id="0">
    <w:p w:rsidR="00766EA2" w:rsidRDefault="00766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0FAB"/>
    <w:rsid w:val="00720911"/>
    <w:rsid w:val="00766EA2"/>
    <w:rsid w:val="00AA780B"/>
    <w:rsid w:val="00BD0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D0FAB"/>
    <w:pPr>
      <w:tabs>
        <w:tab w:val="center" w:pos="4153"/>
        <w:tab w:val="right" w:pos="8306"/>
      </w:tabs>
      <w:snapToGrid w:val="0"/>
      <w:jc w:val="left"/>
    </w:pPr>
    <w:rPr>
      <w:sz w:val="18"/>
      <w:szCs w:val="18"/>
    </w:rPr>
  </w:style>
  <w:style w:type="character" w:customStyle="1" w:styleId="Char">
    <w:name w:val="页脚 Char"/>
    <w:basedOn w:val="a0"/>
    <w:link w:val="a3"/>
    <w:rsid w:val="00BD0FAB"/>
    <w:rPr>
      <w:rFonts w:ascii="Times New Roman" w:eastAsia="宋体" w:hAnsi="Times New Roman" w:cs="Times New Roman"/>
      <w:sz w:val="18"/>
      <w:szCs w:val="18"/>
    </w:rPr>
  </w:style>
  <w:style w:type="character" w:styleId="a4">
    <w:name w:val="page number"/>
    <w:rsid w:val="00BD0FAB"/>
    <w:rPr>
      <w:rFonts w:cs="Times New Roman"/>
    </w:rPr>
  </w:style>
  <w:style w:type="paragraph" w:styleId="a5">
    <w:name w:val="header"/>
    <w:basedOn w:val="a"/>
    <w:link w:val="Char0"/>
    <w:uiPriority w:val="99"/>
    <w:unhideWhenUsed/>
    <w:rsid w:val="00AA78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A780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Words>
  <Characters>1135</Characters>
  <Application>Microsoft Office Word</Application>
  <DocSecurity>0</DocSecurity>
  <Lines>9</Lines>
  <Paragraphs>2</Paragraphs>
  <ScaleCrop>false</ScaleCrop>
  <Company>Microsoft</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许远</cp:lastModifiedBy>
  <cp:revision>2</cp:revision>
  <dcterms:created xsi:type="dcterms:W3CDTF">2021-09-09T03:37:00Z</dcterms:created>
  <dcterms:modified xsi:type="dcterms:W3CDTF">2021-09-13T03:57:00Z</dcterms:modified>
</cp:coreProperties>
</file>